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73332D9B" w:rsidR="00853499" w:rsidRPr="00006857" w:rsidRDefault="005B4BDB" w:rsidP="00823C74">
            <w:pPr>
              <w:spacing w:before="0" w:after="0" w:line="240" w:lineRule="auto"/>
              <w:rPr>
                <w:rFonts w:ascii="Arial" w:hAnsi="Arial" w:cs="Arial"/>
                <w:color w:val="auto"/>
                <w:sz w:val="24"/>
                <w:szCs w:val="24"/>
              </w:rPr>
            </w:pPr>
            <w:r w:rsidRPr="005B4BDB">
              <w:rPr>
                <w:rFonts w:ascii="Arial" w:hAnsi="Arial" w:cs="Arial"/>
                <w:color w:val="auto"/>
                <w:sz w:val="24"/>
                <w:szCs w:val="24"/>
              </w:rPr>
              <w:t>All medical and mental health staff will ensure that all patient rights in applicable to HIPAA are respected and followed. The only PHI disclosed will be done so only as permitted by law.</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3D811463" w:rsidR="00853499" w:rsidRPr="00006857" w:rsidRDefault="005B4BDB" w:rsidP="00CB62CC">
            <w:pPr>
              <w:spacing w:before="0" w:after="0" w:line="240" w:lineRule="auto"/>
              <w:rPr>
                <w:rFonts w:ascii="Arial" w:hAnsi="Arial" w:cs="Arial"/>
                <w:color w:val="auto"/>
                <w:sz w:val="24"/>
                <w:szCs w:val="24"/>
              </w:rPr>
            </w:pPr>
            <w:r w:rsidRPr="005B4BDB">
              <w:rPr>
                <w:rFonts w:ascii="Arial" w:hAnsi="Arial" w:cs="Arial"/>
                <w:color w:val="auto"/>
                <w:sz w:val="24"/>
                <w:szCs w:val="24"/>
              </w:rPr>
              <w:t>HIPAA section 45 C.F.R. 164.512 (k) (5) (</w:t>
            </w:r>
            <w:proofErr w:type="spellStart"/>
            <w:r w:rsidRPr="005B4BDB">
              <w:rPr>
                <w:rFonts w:ascii="Arial" w:hAnsi="Arial" w:cs="Arial"/>
                <w:color w:val="auto"/>
                <w:sz w:val="24"/>
                <w:szCs w:val="24"/>
              </w:rPr>
              <w:t>i</w:t>
            </w:r>
            <w:proofErr w:type="spellEnd"/>
            <w:r w:rsidRPr="005B4BDB">
              <w:rPr>
                <w:rFonts w:ascii="Arial" w:hAnsi="Arial" w:cs="Arial"/>
                <w:color w:val="auto"/>
                <w:sz w:val="24"/>
                <w:szCs w:val="24"/>
              </w:rPr>
              <w:t>) allows for certain information to be provided to correctional and law enforcement staff. This includes information that pertains to the safety and security of the facility. All electronic transactions including fax, telephone and EHRs will be equipped to share PHI to certain organizations to ensure continuity of care. All patient confidentiality rights will be posted in the clinic. All mental health and substance use records will be kept separately and ROI for these records will indicate a special release of information for these separate entities.</w:t>
            </w:r>
          </w:p>
        </w:tc>
      </w:tr>
      <w:tr w:rsidR="00006857" w:rsidRPr="00006857" w14:paraId="58FF9749" w14:textId="77777777" w:rsidTr="00853499">
        <w:tc>
          <w:tcPr>
            <w:tcW w:w="1657" w:type="dxa"/>
            <w:gridSpan w:val="3"/>
            <w:tcBorders>
              <w:top w:val="nil"/>
              <w:bottom w:val="nil"/>
            </w:tcBorders>
          </w:tcPr>
          <w:p w14:paraId="450B700D" w14:textId="13426CA6"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1BF7FA1A" w:rsidR="00853499" w:rsidRPr="00006857" w:rsidRDefault="00853499" w:rsidP="009F1E70">
            <w:pPr>
              <w:spacing w:after="0" w:line="240" w:lineRule="auto"/>
              <w:rPr>
                <w:rFonts w:ascii="Arial" w:hAnsi="Arial" w:cs="Arial"/>
                <w:color w:val="auto"/>
                <w:sz w:val="24"/>
                <w:szCs w:val="24"/>
              </w:rPr>
            </w:pP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AE98102" w:rsidR="00337498" w:rsidRPr="00337498" w:rsidRDefault="00337498" w:rsidP="00337498">
            <w:pPr>
              <w:spacing w:after="0" w:line="240" w:lineRule="auto"/>
              <w:rPr>
                <w:rFonts w:ascii="Arial" w:hAnsi="Arial" w:cs="Arial"/>
                <w:sz w:val="24"/>
                <w:szCs w:val="24"/>
              </w:rPr>
            </w:pPr>
          </w:p>
        </w:tc>
      </w:tr>
    </w:tbl>
    <w:p w14:paraId="7A6C558D" w14:textId="291AEE32" w:rsidR="00544117" w:rsidRPr="00544117" w:rsidRDefault="00544117" w:rsidP="00544117">
      <w:pPr>
        <w:rPr>
          <w:rFonts w:ascii="Arial Black" w:hAnsi="Arial Black" w:cs="Times New Roman"/>
          <w:sz w:val="32"/>
          <w:szCs w:val="32"/>
        </w:rPr>
      </w:pPr>
    </w:p>
    <w:p w14:paraId="0930C444" w14:textId="2EE61ED9" w:rsidR="00544117" w:rsidRDefault="00544117" w:rsidP="00544117">
      <w:pPr>
        <w:rPr>
          <w:rFonts w:ascii="Arial Black" w:hAnsi="Arial Black" w:cs="Times New Roman"/>
          <w:sz w:val="32"/>
          <w:szCs w:val="32"/>
        </w:rPr>
      </w:pPr>
    </w:p>
    <w:p w14:paraId="4D3A42DF" w14:textId="4F244F42" w:rsidR="00544117" w:rsidRDefault="00544117" w:rsidP="00544117">
      <w:pPr>
        <w:rPr>
          <w:rFonts w:ascii="Arial Black" w:hAnsi="Arial Black" w:cs="Times New Roman"/>
          <w:sz w:val="32"/>
          <w:szCs w:val="32"/>
        </w:rPr>
      </w:pPr>
    </w:p>
    <w:p w14:paraId="14B78974" w14:textId="6020D140" w:rsidR="00544117" w:rsidRPr="00544117" w:rsidRDefault="00544117" w:rsidP="00544117">
      <w:pPr>
        <w:rPr>
          <w:rFonts w:ascii="Arial Black" w:hAnsi="Arial Black" w:cs="Times New Roman"/>
          <w:sz w:val="32"/>
          <w:szCs w:val="32"/>
        </w:rPr>
      </w:pPr>
    </w:p>
    <w:p w14:paraId="6608613C" w14:textId="6A872498" w:rsidR="00544117" w:rsidRPr="00544117" w:rsidRDefault="00544117" w:rsidP="00544117">
      <w:pPr>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764ECE6E" w:rsidR="00544117" w:rsidRPr="00544117" w:rsidRDefault="00544117" w:rsidP="005B4BDB">
      <w:pPr>
        <w:tabs>
          <w:tab w:val="left" w:pos="3187"/>
          <w:tab w:val="left" w:pos="9656"/>
        </w:tabs>
        <w:rPr>
          <w:rFonts w:ascii="Arial Black" w:hAnsi="Arial Black" w:cs="Times New Roman"/>
          <w:sz w:val="32"/>
          <w:szCs w:val="32"/>
        </w:rPr>
      </w:pPr>
      <w:r>
        <w:rPr>
          <w:rFonts w:ascii="Arial Black" w:hAnsi="Arial Black" w:cs="Times New Roman"/>
          <w:sz w:val="32"/>
          <w:szCs w:val="32"/>
        </w:rPr>
        <w:tab/>
      </w:r>
      <w:r w:rsidR="005B4BDB">
        <w:rPr>
          <w:rFonts w:ascii="Arial Black" w:hAnsi="Arial Black" w:cs="Times New Roman"/>
          <w:sz w:val="32"/>
          <w:szCs w:val="32"/>
        </w:rPr>
        <w:tab/>
      </w:r>
    </w:p>
    <w:sectPr w:rsidR="00544117" w:rsidRPr="00544117" w:rsidSect="00A647A5">
      <w:headerReference w:type="default" r:id="rId7"/>
      <w:footerReference w:type="default" r:id="rId8"/>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142DC637" w:rsidR="003B6A6E" w:rsidRPr="005B4BDB" w:rsidRDefault="005B4BDB" w:rsidP="003B6A6E">
    <w:pPr>
      <w:pStyle w:val="Footer"/>
      <w:jc w:val="right"/>
      <w:rPr>
        <w:rFonts w:ascii="Arial" w:hAnsi="Arial" w:cs="Arial"/>
        <w:color w:val="A6A6A6" w:themeColor="background1" w:themeShade="A6"/>
        <w:sz w:val="20"/>
        <w:szCs w:val="20"/>
      </w:rPr>
    </w:pPr>
    <w:r w:rsidRPr="005B4BDB">
      <w:rPr>
        <w:rFonts w:ascii="Arial" w:hAnsi="Arial" w:cs="Arial"/>
        <w:color w:val="A6A6A6" w:themeColor="background1" w:themeShade="A6"/>
        <w:sz w:val="20"/>
        <w:szCs w:val="20"/>
      </w:rPr>
      <w:t>Reference NCCHC standard J-A-07</w:t>
    </w:r>
  </w:p>
  <w:p w14:paraId="5D60A914" w14:textId="3FC12A95"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20FBCBA3" w:rsidR="0074458F" w:rsidRPr="00B96470" w:rsidRDefault="005B4BDB" w:rsidP="00DE0C66">
    <w:pPr>
      <w:spacing w:after="0" w:line="240" w:lineRule="auto"/>
      <w:jc w:val="center"/>
      <w:rPr>
        <w:rFonts w:ascii="Arial" w:hAnsi="Arial" w:cs="Arial"/>
        <w:bCs/>
        <w:sz w:val="32"/>
        <w:szCs w:val="36"/>
      </w:rPr>
    </w:pPr>
    <w:r>
      <w:rPr>
        <w:rFonts w:ascii="Arial" w:hAnsi="Arial" w:cs="Arial"/>
        <w:bCs/>
        <w:sz w:val="32"/>
        <w:szCs w:val="36"/>
      </w:rPr>
      <w:t>Health Insurance Portability Accountability Act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ToB0KZatg2WFAift+2Sy6WCeBXU5vCl950AHaJkHiAhoKBKR5HwQCDkoJ/NmVTXsIKJM4JJP/yPKlPYCgr6vAg==" w:salt="Wo3sIE1ZgyMFZ8EuGnyJEQ=="/>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251CA"/>
    <w:rsid w:val="002C7884"/>
    <w:rsid w:val="002E53D1"/>
    <w:rsid w:val="00310C70"/>
    <w:rsid w:val="00337498"/>
    <w:rsid w:val="003508B6"/>
    <w:rsid w:val="003A4E77"/>
    <w:rsid w:val="003B6A6E"/>
    <w:rsid w:val="003D21A7"/>
    <w:rsid w:val="004205BE"/>
    <w:rsid w:val="00440A2E"/>
    <w:rsid w:val="00481DEE"/>
    <w:rsid w:val="004B7428"/>
    <w:rsid w:val="00544117"/>
    <w:rsid w:val="005B4BDB"/>
    <w:rsid w:val="005F2C91"/>
    <w:rsid w:val="006E5273"/>
    <w:rsid w:val="0074458F"/>
    <w:rsid w:val="00823C74"/>
    <w:rsid w:val="00853499"/>
    <w:rsid w:val="008E060E"/>
    <w:rsid w:val="00906913"/>
    <w:rsid w:val="00930E40"/>
    <w:rsid w:val="009F1E70"/>
    <w:rsid w:val="00A647A5"/>
    <w:rsid w:val="00AD5C2F"/>
    <w:rsid w:val="00B9225D"/>
    <w:rsid w:val="00B96470"/>
    <w:rsid w:val="00BD5B5D"/>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3</cp:revision>
  <cp:lastPrinted>2020-07-04T12:39:00Z</cp:lastPrinted>
  <dcterms:created xsi:type="dcterms:W3CDTF">2021-10-12T13:16:00Z</dcterms:created>
  <dcterms:modified xsi:type="dcterms:W3CDTF">2023-11-09T17:16:00Z</dcterms:modified>
</cp:coreProperties>
</file>